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May 18, 2017,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88" w:lineRule="auto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Steve Bellomy, Chris Floyd, Judy Sargent, Matt Orem,  Aimee Hayes, John Lolo, Roni Harlan, Judy Shock, Raelynn North,  Michael Pearson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 Brian Smith, Kelli Bolicek, Chris Stratton, Ethan Draves, Amy Dunaway, Chelsea Avery,  Dana Hanson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Prior Mo.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201704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201704 Treasurer Report.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Need to recruit for co-chair for PDT, awards chair,  and a new early careers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Discussion around 2018 PDT location, Motion to cover $800 by Steve, 2nd by 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Motion Passed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Discuss Brainstorming Ideas for reaching out , Motion from Judy 2nd by Judy to cover Luggage and Taxi for Roni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Greenbelt still closed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Top Recruiter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Scholarships- who we have paid and who we have planned to pay- In 2015 paid 7k - BSU, ISU, UI, NIC, LCSC, CWI, CSI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Chapter to donate raffle item for AGA PDT 2017 ($200). Aimee Motions, 2nd by Michael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Luncheon for CFO’s introducing AGA to agencies who have not attended or become members- put together a committee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Motion Passed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Review engagement letter for approval. (See copy in “my drive.” 2016 AGA Engagement Letter.pdf) Motion for letter, Matt Motion not to exceed $500, 2nd by Michael,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Motion Passed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 Motion to Adjourn Aimee 2nds 11:36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